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0" w:line="276" w:lineRule="auto"/>
        <w:ind w:left="0" w:firstLine="0"/>
        <w:rPr>
          <w:rFonts w:ascii="Merriweather" w:cs="Merriweather" w:eastAsia="Merriweather" w:hAnsi="Merriweather"/>
          <w:b w:val="1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PRZEDMIOTOWY SYSTEM OCENIANIA Z GEOGRAFII</w:t>
      </w:r>
    </w:p>
    <w:p w:rsidR="00000000" w:rsidDel="00000000" w:rsidP="00000000" w:rsidRDefault="00000000" w:rsidRPr="00000000" w14:paraId="00000002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  <w:color w:val="424242"/>
          <w:sz w:val="72"/>
          <w:szCs w:val="72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w klasach VI – VIII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ind w:left="-15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linia pozioma" id="1" name="image1.png"/>
            <a:graphic>
              <a:graphicData uri="http://schemas.openxmlformats.org/drawingml/2006/picture">
                <pic:pic>
                  <pic:nvPicPr>
                    <pic:cNvPr descr="linia poziom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Przedmiotowy system oceniania jest zgodny z obowiązującym Rozporządzeniem MEN oraz z Wewnątrzszkolnym Systemem Oceniania w Zespole Edukacyjnym nr 7 w Zielonej Górze</w:t>
      </w:r>
    </w:p>
    <w:p w:rsidR="00000000" w:rsidDel="00000000" w:rsidP="00000000" w:rsidRDefault="00000000" w:rsidRPr="00000000" w14:paraId="00000005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W roku szkolnym 2021/22 pracujemy w oparciu o program nauczania geografii  dla drugiego etapu edukacyjnego.</w:t>
      </w:r>
    </w:p>
    <w:p w:rsidR="00000000" w:rsidDel="00000000" w:rsidP="00000000" w:rsidRDefault="00000000" w:rsidRPr="00000000" w14:paraId="00000006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Klasa V „Planeta Nowa” - R. Malarz, T. Rachwał, D. Szczypiński, wydawnictwo Nowa Era, numer dopuszczenia 906/1/2018.</w:t>
      </w:r>
    </w:p>
    <w:p w:rsidR="00000000" w:rsidDel="00000000" w:rsidP="00000000" w:rsidRDefault="00000000" w:rsidRPr="00000000" w14:paraId="00000007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Klasa VII „Planeta Nowa” - R. Malarz, M. Szubert, T. Rachwał, wydawnictwo Nowa Era, numer dopuszczenia 906/3/2019/z1.</w:t>
      </w:r>
    </w:p>
    <w:p w:rsidR="00000000" w:rsidDel="00000000" w:rsidP="00000000" w:rsidRDefault="00000000" w:rsidRPr="00000000" w14:paraId="00000008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Klasa VIII „Planeta Nowa” - T. Rachwał, D. Szczypiński, wydawnictwo Nowa Era, numer dopuszczenia 906/4/2021/z1.</w:t>
      </w:r>
    </w:p>
    <w:p w:rsidR="00000000" w:rsidDel="00000000" w:rsidP="00000000" w:rsidRDefault="00000000" w:rsidRPr="00000000" w14:paraId="00000009">
      <w:pPr>
        <w:pageBreakBefore w:val="0"/>
        <w:spacing w:after="240" w:before="0" w:line="276" w:lineRule="auto"/>
        <w:ind w:left="0" w:firstLine="0"/>
        <w:rPr>
          <w:rFonts w:ascii="Merriweather" w:cs="Merriweather" w:eastAsia="Merriweather" w:hAnsi="Merriweather"/>
          <w:b w:val="1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Sposoby informowania o PSO.</w:t>
      </w:r>
    </w:p>
    <w:p w:rsidR="00000000" w:rsidDel="00000000" w:rsidP="00000000" w:rsidRDefault="00000000" w:rsidRPr="00000000" w14:paraId="0000000A">
      <w:pPr>
        <w:pageBreakBefore w:val="0"/>
        <w:spacing w:after="160" w:before="24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Nauczyciel na początku roku informuje uczniów o wymaganiach na poszczególne oceny szkolne, formach i metodach sprawdzania wiedzy i umiejętności uczniów, trybie i warunkach poprawiania oceny cząstkowej i uzyskiwania oceny semestralnej wyższej niż przewidywana oraz o metodzie wystawiania oceny semestralnej i końcowej. Uczniowie informowani są również za każdym razem gdy zostaną wprowadzone zmiany w PSO. Zasady oceniania są przypominane uczniom przy okazji wystawiania ocen.</w:t>
      </w:r>
    </w:p>
    <w:p w:rsidR="00000000" w:rsidDel="00000000" w:rsidP="00000000" w:rsidRDefault="00000000" w:rsidRPr="00000000" w14:paraId="0000000B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  <w:sz w:val="16"/>
          <w:szCs w:val="16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Wymagania na poszczególne oceny szkolne – kryteria oceniania.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br w:type="textWrapping"/>
      </w:r>
      <w:r w:rsidDel="00000000" w:rsidR="00000000" w:rsidRPr="00000000">
        <w:rPr>
          <w:rFonts w:ascii="Merriweather" w:cs="Merriweather" w:eastAsia="Merriweather" w:hAnsi="Merriweather"/>
          <w:sz w:val="16"/>
          <w:szCs w:val="16"/>
          <w:rtl w:val="0"/>
        </w:rPr>
        <w:tab/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2085"/>
        <w:gridCol w:w="7275"/>
        <w:tblGridChange w:id="0">
          <w:tblGrid>
            <w:gridCol w:w="2085"/>
            <w:gridCol w:w="727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before="0" w:line="276" w:lineRule="auto"/>
              <w:ind w:left="0" w:firstLine="0"/>
              <w:jc w:val="left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6"/>
                <w:szCs w:val="16"/>
                <w:rtl w:val="0"/>
              </w:rPr>
              <w:t xml:space="preserve">Ocena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before="0" w:line="276" w:lineRule="auto"/>
              <w:ind w:left="0" w:firstLine="0"/>
              <w:jc w:val="left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6"/>
                <w:szCs w:val="16"/>
                <w:rtl w:val="0"/>
              </w:rPr>
              <w:t xml:space="preserve">Wymagania na poszczególne oceny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6"/>
                <w:szCs w:val="16"/>
                <w:rtl w:val="0"/>
              </w:rPr>
              <w:t xml:space="preserve">Celująca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Gruntowna wiedza zgodna z podstawa programową, udział w konkursach geograficznych z zakwalifikowaniem się do dalszych etapów, uczeń potrafi rozwiązywać zadania i problemy nietypowe, umie prezentować własne poglądy i opinie oraz efekty pracy, potrafi korzystać z różnych źródeł informacji, jest aktywny na lekcji, podejmuje dodatkowe zadania, zawsze wykazuje się znajomością bieżącego materiału, realizuje zadania w zakresie pracy z uczniem zdolnym.</w:t>
              <w:tab/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6"/>
                <w:szCs w:val="16"/>
                <w:rtl w:val="0"/>
              </w:rPr>
              <w:t xml:space="preserve">Bardzo dobra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Bardzo dobra znajomość zagadnień programowych, aktywny udział w zajęciach pozalekcyjnych i aktywność na lekcjach, umiejętność </w:t>
              <w:tab/>
              <w:t xml:space="preserve">stosowania zdobyta wiedzę do rozwiązywania problemów i zadań w nowych sytuacjach, potrafi bez pomocy nauczyciela korzystać z różnych źródeł, realizuje większość zadań z zakresu pracy z uczniem zdolnym.</w:t>
              <w:tab/>
              <w:tab/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6"/>
                <w:szCs w:val="16"/>
                <w:rtl w:val="0"/>
              </w:rPr>
              <w:t xml:space="preserve">Dobra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Zna w stopniu dobrym zagadnienia </w:t>
              <w:tab/>
              <w:t xml:space="preserve">z lekcji, jest obowiązkowy i systematyczny, poprawnie stosuje wiadomości i umiejętności do samodzielnego rozwiązywania typowych zadań lub problemów, potrafi korzystać z map, wykresów i tabel.</w:t>
              <w:tab/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6"/>
                <w:szCs w:val="16"/>
                <w:rtl w:val="0"/>
              </w:rPr>
              <w:t xml:space="preserve">Dostateczna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Znajomość podstawowych zagadnień programowych, poprawnie stosuje wiadomości i umiejętności do rozwiązywania z pomocą nauczyciela zadań, potrafi korzystać z map, wykresów i tabel, ma braki w opanowaniu umiejętności i wiadomości określonych podstawą programową, ale braki te nie przekreślają dalszego kształcenia.</w:t>
              <w:tab/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6"/>
                <w:szCs w:val="16"/>
                <w:rtl w:val="0"/>
              </w:rPr>
              <w:t xml:space="preserve">Dopuszczająca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Uczestniczy w zajęciach, przy pomocy nauczyciela wykonuje proste zadania, posiada tylko konieczne wiadomości, ma trudności w formułowaniu myśli.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16"/>
                <w:szCs w:val="16"/>
                <w:rtl w:val="0"/>
              </w:rPr>
              <w:t xml:space="preserve">Niedostateczna</w:t>
            </w: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before="0" w:line="276" w:lineRule="auto"/>
              <w:ind w:left="0" w:firstLine="0"/>
              <w:rPr>
                <w:rFonts w:ascii="Merriweather" w:cs="Merriweather" w:eastAsia="Merriweather" w:hAnsi="Merriweather"/>
                <w:sz w:val="16"/>
                <w:szCs w:val="16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6"/>
                <w:szCs w:val="16"/>
                <w:rtl w:val="0"/>
              </w:rPr>
              <w:t xml:space="preserve">Nie opanował podstawowych wiadomości i umiejętności określonych podstawa programową.</w:t>
              <w:tab/>
              <w:tab/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after="160" w:before="24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240" w:before="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Narzędzia pomiaru i obserwacji osiągnięć uczniów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Pomiar osiągnięć uczniów odbywa się za pomocą następujących narzędzi: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spacing w:after="0" w:afterAutospacing="0" w:before="24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sprawdziany </w:t>
        <w:tab/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kartkówki </w:t>
        <w:tab/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prace domowe </w:t>
        <w:tab/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zeszyty przedmiotowe </w:t>
        <w:tab/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karty pracy </w:t>
        <w:tab/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praca z mapą, odpowiedź przy mapie </w:t>
        <w:tab/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inne formy aktywności np. udział w konkursach, wykonywanie pomocy </w:t>
        <w:tab/>
        <w:t xml:space="preserve">dydaktycznych </w:t>
        <w:tab/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obserwacja ucznia: </w:t>
        <w:tab/>
      </w:r>
    </w:p>
    <w:p w:rsidR="00000000" w:rsidDel="00000000" w:rsidP="00000000" w:rsidRDefault="00000000" w:rsidRPr="00000000" w14:paraId="00000025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przygotowanie do lekcji </w:t>
        <w:tab/>
        <w:tab/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aktywność na </w:t>
        <w:tab/>
        <w:t xml:space="preserve">lekcji </w:t>
        <w:tab/>
        <w:tab/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3"/>
        </w:numPr>
        <w:spacing w:after="0" w:afterAutospacing="0" w:before="0" w:beforeAutospacing="0" w:line="276" w:lineRule="auto"/>
        <w:ind w:left="144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praca w grupach.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3"/>
        </w:numPr>
        <w:spacing w:after="240" w:before="0" w:beforeAutospacing="0" w:line="276" w:lineRule="auto"/>
        <w:ind w:left="720" w:hanging="360"/>
        <w:rPr>
          <w:rFonts w:ascii="Merriweather" w:cs="Merriweather" w:eastAsia="Merriweather" w:hAnsi="Merriweather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Formy sprawdzające w formie elektronicznej.</w:t>
      </w:r>
    </w:p>
    <w:p w:rsidR="00000000" w:rsidDel="00000000" w:rsidP="00000000" w:rsidRDefault="00000000" w:rsidRPr="00000000" w14:paraId="00000029">
      <w:pPr>
        <w:pageBreakBefore w:val="0"/>
        <w:spacing w:after="240" w:before="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Kryteria oceniania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4"/>
        </w:numPr>
        <w:spacing w:after="0" w:afterAutospacing="0" w:before="24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Propozycję oceny śródrocznej (rocznej ) nauczyciel wystawia na dwa tygodnie przed </w:t>
        <w:tab/>
        <w:t xml:space="preserve">terminem klasyfikacji śródrocznej (rocznej).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4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 zagrożeniu </w:t>
        <w:tab/>
        <w:t xml:space="preserve">oceną niedostateczną nauczyciel informuje ucznia, jego rodziców </w:t>
        <w:tab/>
        <w:t xml:space="preserve">oraz wychowawcę klasy na miesiąc przed klasyfikacją.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4"/>
        </w:numPr>
        <w:spacing w:after="24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Wszystkie formy aktywności ucznia oceniane są w skali stopniowej od 1 do 6:</w:t>
      </w:r>
    </w:p>
    <w:p w:rsidR="00000000" w:rsidDel="00000000" w:rsidP="00000000" w:rsidRDefault="00000000" w:rsidRPr="00000000" w14:paraId="0000002D">
      <w:pPr>
        <w:keepLines w:val="0"/>
        <w:pageBreakBefore w:val="0"/>
        <w:widowControl w:val="1"/>
        <w:spacing w:after="0" w:before="0" w:line="240" w:lineRule="auto"/>
        <w:ind w:left="36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 – ndst – ocena niedostateczna</w:t>
      </w:r>
    </w:p>
    <w:p w:rsidR="00000000" w:rsidDel="00000000" w:rsidP="00000000" w:rsidRDefault="00000000" w:rsidRPr="00000000" w14:paraId="0000002E">
      <w:pPr>
        <w:keepLines w:val="0"/>
        <w:pageBreakBefore w:val="0"/>
        <w:widowControl w:val="1"/>
        <w:spacing w:after="0" w:before="0" w:line="240" w:lineRule="auto"/>
        <w:ind w:left="36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2 – dop – ocena dopuszczająca</w:t>
      </w:r>
    </w:p>
    <w:p w:rsidR="00000000" w:rsidDel="00000000" w:rsidP="00000000" w:rsidRDefault="00000000" w:rsidRPr="00000000" w14:paraId="0000002F">
      <w:pPr>
        <w:keepLines w:val="0"/>
        <w:pageBreakBefore w:val="0"/>
        <w:widowControl w:val="1"/>
        <w:spacing w:after="0" w:before="0" w:line="240" w:lineRule="auto"/>
        <w:ind w:left="36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3 - dst - ocena dostateczna</w:t>
      </w:r>
    </w:p>
    <w:p w:rsidR="00000000" w:rsidDel="00000000" w:rsidP="00000000" w:rsidRDefault="00000000" w:rsidRPr="00000000" w14:paraId="00000030">
      <w:pPr>
        <w:keepLines w:val="0"/>
        <w:pageBreakBefore w:val="0"/>
        <w:widowControl w:val="1"/>
        <w:spacing w:after="0" w:before="0" w:line="240" w:lineRule="auto"/>
        <w:ind w:left="36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4 - db - ocena dobra</w:t>
      </w:r>
    </w:p>
    <w:p w:rsidR="00000000" w:rsidDel="00000000" w:rsidP="00000000" w:rsidRDefault="00000000" w:rsidRPr="00000000" w14:paraId="00000031">
      <w:pPr>
        <w:keepLines w:val="0"/>
        <w:pageBreakBefore w:val="0"/>
        <w:widowControl w:val="1"/>
        <w:spacing w:after="0" w:before="0" w:line="240" w:lineRule="auto"/>
        <w:ind w:left="36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5 - bdb – ocena bardzo dobra</w:t>
      </w:r>
    </w:p>
    <w:p w:rsidR="00000000" w:rsidDel="00000000" w:rsidP="00000000" w:rsidRDefault="00000000" w:rsidRPr="00000000" w14:paraId="00000032">
      <w:pPr>
        <w:keepLines w:val="0"/>
        <w:pageBreakBefore w:val="0"/>
        <w:widowControl w:val="1"/>
        <w:spacing w:after="0" w:before="0" w:line="240" w:lineRule="auto"/>
        <w:ind w:left="36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6 - cel - ocena celująca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6"/>
        </w:numPr>
        <w:spacing w:after="0" w:afterAutospacing="0" w:before="24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 ocenianiu w bieżącym roku dopuszcza się rozszerzenie skali ocen o stosowanie </w:t>
        <w:tab/>
        <w:t xml:space="preserve">znaków + / -. </w:t>
        <w:tab/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6"/>
        </w:numPr>
        <w:spacing w:after="24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Punkty uzyskane ze sprawdzianów przeliczane są na stopnie wg następującej skali:</w:t>
      </w:r>
    </w:p>
    <w:p w:rsidR="00000000" w:rsidDel="00000000" w:rsidP="00000000" w:rsidRDefault="00000000" w:rsidRPr="00000000" w14:paraId="00000035">
      <w:pPr>
        <w:pageBreakBefore w:val="0"/>
        <w:spacing w:after="0" w:before="0" w:line="240" w:lineRule="auto"/>
        <w:ind w:left="425.19685039370086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100% - 99%     </w:t>
        <w:tab/>
        <w:t xml:space="preserve">celujący</w:t>
      </w:r>
    </w:p>
    <w:p w:rsidR="00000000" w:rsidDel="00000000" w:rsidP="00000000" w:rsidRDefault="00000000" w:rsidRPr="00000000" w14:paraId="00000036">
      <w:pPr>
        <w:pageBreakBefore w:val="0"/>
        <w:spacing w:after="0" w:before="0" w:line="240" w:lineRule="auto"/>
        <w:ind w:left="425.19685039370086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98% - 86%</w:t>
        <w:tab/>
        <w:t xml:space="preserve">bardzo dobry</w:t>
      </w:r>
    </w:p>
    <w:p w:rsidR="00000000" w:rsidDel="00000000" w:rsidP="00000000" w:rsidRDefault="00000000" w:rsidRPr="00000000" w14:paraId="00000037">
      <w:pPr>
        <w:pageBreakBefore w:val="0"/>
        <w:spacing w:after="0" w:before="0" w:line="240" w:lineRule="auto"/>
        <w:ind w:left="425.19685039370086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85% - 75%</w:t>
        <w:tab/>
        <w:t xml:space="preserve">dobry</w:t>
      </w:r>
    </w:p>
    <w:p w:rsidR="00000000" w:rsidDel="00000000" w:rsidP="00000000" w:rsidRDefault="00000000" w:rsidRPr="00000000" w14:paraId="00000038">
      <w:pPr>
        <w:pageBreakBefore w:val="0"/>
        <w:spacing w:after="0" w:before="0" w:line="240" w:lineRule="auto"/>
        <w:ind w:left="425.19685039370086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74% - 50%      </w:t>
        <w:tab/>
        <w:t xml:space="preserve">dostateczny</w:t>
      </w:r>
    </w:p>
    <w:p w:rsidR="00000000" w:rsidDel="00000000" w:rsidP="00000000" w:rsidRDefault="00000000" w:rsidRPr="00000000" w14:paraId="00000039">
      <w:pPr>
        <w:pageBreakBefore w:val="0"/>
        <w:spacing w:after="0" w:before="0" w:line="240" w:lineRule="auto"/>
        <w:ind w:left="425.19685039370086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49% - 30%     </w:t>
        <w:tab/>
        <w:t xml:space="preserve">dopuszczający</w:t>
      </w:r>
    </w:p>
    <w:p w:rsidR="00000000" w:rsidDel="00000000" w:rsidP="00000000" w:rsidRDefault="00000000" w:rsidRPr="00000000" w14:paraId="0000003A">
      <w:pPr>
        <w:pageBreakBefore w:val="0"/>
        <w:spacing w:after="0" w:before="0" w:line="240" w:lineRule="auto"/>
        <w:ind w:left="425.19685039370086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29% - 0%</w:t>
        <w:tab/>
        <w:t xml:space="preserve">niedostateczny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7"/>
        </w:numPr>
        <w:spacing w:after="0" w:afterAutospacing="0" w:before="24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Ocena śródroczna (roczna ) nie jest średnią arytmetyczną ocen cząstkowych. Na ocenę mają wpływ wymienione wcześniej formy aktywności według ważności:</w:t>
        <w:br w:type="textWrapping"/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sprawdziany ( waga 3 )</w:t>
        <w:br w:type="textWrapping"/>
        <w:t xml:space="preserve"> </w:t>
        <w:tab/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prace długoterminowe ( waga 2 )</w:t>
        <w:br w:type="textWrapping"/>
        <w:t xml:space="preserve"> </w:t>
        <w:tab/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kartkówki, odpowiedzi ustne ( waga 1-2 )</w:t>
        <w:br w:type="textWrapping"/>
        <w:t xml:space="preserve"> </w:t>
        <w:tab/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prace domowe, zeszyt przedmiotowy, karty pracy ucznia ( waga 1-2 )</w:t>
        <w:br w:type="textWrapping"/>
        <w:t xml:space="preserve"> </w:t>
        <w:tab/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aktywność, prace dodatkowe ( waga 1-2 )</w:t>
        <w:br w:type="textWrapping"/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5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Ocenę roczną </w:t>
        <w:tab/>
        <w:t xml:space="preserve">wystawia się na podstawie uzyskanych ocen w ciągu całego roku. </w:t>
        <w:tab/>
        <w:br w:type="textWrapping"/>
        <w:t xml:space="preserve"> </w:t>
        <w:tab/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5"/>
        </w:numPr>
        <w:spacing w:after="24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Obowiązujące </w:t>
        <w:tab/>
        <w:t xml:space="preserve">progi średnich, od której ocena jest podwyższana: 5,51 obowiązuje </w:t>
        <w:tab/>
        <w:t xml:space="preserve">ocena celująca; od 4,51 uczeń otrzymuje ocenę bardzo dobrą; od 3,51 – dobrą, 2,51 – dostateczną, 1,51 – dopuszczającą.</w:t>
      </w:r>
    </w:p>
    <w:p w:rsidR="00000000" w:rsidDel="00000000" w:rsidP="00000000" w:rsidRDefault="00000000" w:rsidRPr="00000000" w14:paraId="00000043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rtl w:val="0"/>
        </w:rPr>
        <w:t xml:space="preserve">Kontrakt między nauczycielem i uczniem</w:t>
      </w:r>
      <w:r w:rsidDel="00000000" w:rsidR="00000000" w:rsidRPr="00000000">
        <w:rPr>
          <w:rFonts w:ascii="Merriweather" w:cs="Merriweather" w:eastAsia="Merriweather" w:hAnsi="Merriweather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Obowiązkowe wyposażenie ucznia: </w:t>
      </w: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podręcznik, zeszyt.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 potrzebie posiadania dodatkowych przyborów uczniowie będą informowani przez nauczyciela. Wskazane jest, aby uczeń miał w domu atlas.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spacing w:after="0" w:afterAutospacing="0" w:before="24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Każdy uczeń jest oceniany zgodnie z zasadami sprawiedliwości.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Oceny są jawne i systematycznie wpisywane do dziennika elektronicznego.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Ocenie </w:t>
        <w:tab/>
        <w:t xml:space="preserve">podlegają wszystkie obszary aktywności ucznia: sprawdziany, kartkówki, prace domowe, zeszyty przedmiotowe, karty pracy, prace długoterminowe, udział w konkursach, wykonywanie pomocy </w:t>
        <w:tab/>
        <w:t xml:space="preserve">dydaktycznych oraz przygotowanie do lekcji, aktywność na lekcji i praca w grupach.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Sprawdziany są obowiązkowe.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Sprawdziany są zapowiadane, z co najmniej tygodniowym wyprzedzeniem ( wpis w </w:t>
        <w:tab/>
        <w:t xml:space="preserve">dzienniku) i podany jest zakres sprawdzanych umiejętności i wiedzy.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Jeżeli uczeń opuścił sprawdzian, to ma obowiązek napisać go w ciągu dwóch tygodni od dnia powrotu do szkoły w terminie ustalonym z nauczycielem. Jeżeli napisanie sprawdzianu nie nastąpi w ciągu dwóch tygodni, po tym czasie nauczyciel ma prawo wręczyć uczniowi sprawdzian i żądać jego napisania bez konieczności </w:t>
        <w:tab/>
        <w:t xml:space="preserve">wcześniejszego informowania ucznia o terminie.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Każdą </w:t>
        <w:tab/>
        <w:t xml:space="preserve">ocenę, niesatysfakcjonującą ucznia, można poprawić. Poprawa jest dobrowolna i odbywa się w ciągu dwóch tygodni od dnia podania informacji o ocenach. Uczeń poprawia ocenę tylko raz. Przy wystawianiu ocen na semestr brane są pod uwagę obie oceny.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Raz w </w:t>
        <w:tab/>
        <w:t xml:space="preserve">semestrze uczeń ma prawo do „wykasowania oceny”, tzn. uczeń ma prawo wykasować jedną ocenę z każdego przedmiotu, pod warunkiem, że została ona poprawiona.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 przypadku korzystania z niedozwolonych pomocy, uczeń otrzymuje ocenę </w:t>
        <w:tab/>
        <w:t xml:space="preserve">niedostateczną.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Zaliczenia poprawkowe lub zaległych sprawdzianów odbywają się w terminie ustalonym wspólnie z nauczycielem.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Uczeń, </w:t>
        <w:tab/>
        <w:t xml:space="preserve">który nie poprawił pracy w uzgodnionym terminie, traci prawo do jej poprawy.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Uczeń </w:t>
        <w:tab/>
        <w:t xml:space="preserve">otrzymuje oceniony sprawdzian w ciągu dwóch tygodni od dnia pisania sprawdzianu.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Krótkie sprawdziany – kartkówki, obejmujące maksymalnie trzy ostatnie </w:t>
        <w:tab/>
        <w:t xml:space="preserve">tematy, nie muszą być zapowiedziane. </w:t>
        <w:tab/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Po dłuższej nieobecności ucznia w szkole ( usprawiedliwionej – powyżej </w:t>
        <w:tab/>
        <w:t xml:space="preserve">tygodnia ) i po zgłoszeniu nauczycielowi zaistniałego faktu uczeń </w:t>
        <w:tab/>
        <w:t xml:space="preserve">ma prawo nie być oceniany przez tydzień,.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Uczeń ma prawo do dwukrotnego, w ciągu semestru, nieprzygotowania do lekcji. Przez nieprzygotowanie do lekcji rozumiemy: brak zeszytu przedmiotowego, brak pracy domowej, nieprzygotowanie do odpowiedzi, brak pomocy potrzebnych do lekcji.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Po wykorzystaniu określonego powyżej limitu nieprzygotowań, kolejne wpływają na ocenę końcową.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Uczeń ma obowiązek zgłosić nieprzygotowanie do lekcji.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Aktywność, pracę na lekcji oraz pracę domową nauczyciel oznacza odpowiednimi </w:t>
        <w:tab/>
        <w:t xml:space="preserve">znakami graficznymi. </w:t>
        <w:tab/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Pracowitość i zaangażowanie ucznia ma wpływ na ocenę końcową z przedmiotu. </w:t>
        <w:tab/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spacing w:after="0" w:afterAutospacing="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Ocena </w:t>
        <w:tab/>
        <w:t xml:space="preserve">roczna (śródroczna) nie może być niższa, niż przewidywana ocena, z którą zapoznali się rodzice.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spacing w:after="240" w:before="0" w:beforeAutospacing="0" w:line="276" w:lineRule="auto"/>
        <w:ind w:left="720" w:hanging="36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W przypadku </w:t>
        <w:tab/>
        <w:t xml:space="preserve">zdalnego nauczania przedmiotowy system oceniania będzie posiadał </w:t>
        <w:tab/>
        <w:t xml:space="preserve">aneks dostosowany do aktualnej sytuacji i narzędzi jakimi będzie </w:t>
        <w:tab/>
        <w:t xml:space="preserve">dysponowała szkoła.</w:t>
        <w:br w:type="textWrapping"/>
      </w:r>
    </w:p>
    <w:p w:rsidR="00000000" w:rsidDel="00000000" w:rsidP="00000000" w:rsidRDefault="00000000" w:rsidRPr="00000000" w14:paraId="0000005A">
      <w:pPr>
        <w:pageBreakBefore w:val="0"/>
        <w:spacing w:after="240" w:before="240" w:line="276" w:lineRule="auto"/>
        <w:ind w:left="42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Nauczyciel geografii</w:t>
        <w:br w:type="textWrapping"/>
        <w:t xml:space="preserve">Anna Cebulska-Boguniewicz</w:t>
      </w:r>
    </w:p>
    <w:p w:rsidR="00000000" w:rsidDel="00000000" w:rsidP="00000000" w:rsidRDefault="00000000" w:rsidRPr="00000000" w14:paraId="0000005B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pacing w:after="240" w:before="240" w:line="276" w:lineRule="auto"/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0" w:line="276" w:lineRule="auto"/>
        <w:ind w:left="-15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Merriweather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pl"/>
      </w:rPr>
    </w:rPrDefault>
    <w:pPrDefault>
      <w:pPr>
        <w:spacing w:before="400" w:line="360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00" w:line="360" w:lineRule="auto"/>
      <w:ind w:left="-15" w:firstLine="0"/>
    </w:pPr>
    <w:rPr>
      <w:rFonts w:ascii="Oswald" w:cs="Oswald" w:eastAsia="Oswald" w:hAnsi="Oswald"/>
      <w:color w:val="42424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80" w:line="360" w:lineRule="auto"/>
      <w:ind w:left="-15" w:firstLine="0"/>
    </w:pPr>
    <w:rPr>
      <w:rFonts w:ascii="Oswald" w:cs="Oswald" w:eastAsia="Oswald" w:hAnsi="Oswald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400" w:line="240" w:lineRule="auto"/>
      <w:ind w:left="-15" w:firstLine="0"/>
    </w:pPr>
    <w:rPr>
      <w:rFonts w:ascii="Source Code Pro" w:cs="Source Code Pro" w:eastAsia="Source Code Pro" w:hAnsi="Source Code Pro"/>
      <w:color w:val="424242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200" w:line="240" w:lineRule="auto"/>
      <w:ind w:left="-15" w:firstLine="0"/>
    </w:pPr>
    <w:rPr>
      <w:rFonts w:ascii="Oswald" w:cs="Oswald" w:eastAsia="Oswald" w:hAnsi="Oswald"/>
      <w:color w:val="42424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666666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Merriweather-regular.ttf"/><Relationship Id="rId10" Type="http://schemas.openxmlformats.org/officeDocument/2006/relationships/font" Target="fonts/Oswald-bold.ttf"/><Relationship Id="rId13" Type="http://schemas.openxmlformats.org/officeDocument/2006/relationships/font" Target="fonts/Merriweather-italic.ttf"/><Relationship Id="rId12" Type="http://schemas.openxmlformats.org/officeDocument/2006/relationships/font" Target="fonts/Merriweather-bold.ttf"/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9" Type="http://schemas.openxmlformats.org/officeDocument/2006/relationships/font" Target="fonts/Oswald-regular.ttf"/><Relationship Id="rId14" Type="http://schemas.openxmlformats.org/officeDocument/2006/relationships/font" Target="fonts/Merriweather-boldItalic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